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9" w:rsidRDefault="000C64B5" w:rsidP="000C64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Statement of compliance with the </w:t>
      </w:r>
      <w:r w:rsidRPr="000C64B5">
        <w:rPr>
          <w:sz w:val="24"/>
          <w:szCs w:val="24"/>
        </w:rPr>
        <w:t>Dual-regulated firms Remuneration Code</w:t>
      </w:r>
      <w:r w:rsidR="00F168CA">
        <w:rPr>
          <w:sz w:val="24"/>
          <w:szCs w:val="24"/>
        </w:rPr>
        <w:t xml:space="preserve"> </w:t>
      </w:r>
      <w:r w:rsidR="009A32E8" w:rsidRPr="00D542E4">
        <w:rPr>
          <w:sz w:val="24"/>
          <w:szCs w:val="24"/>
        </w:rPr>
        <w:t>Rules</w:t>
      </w:r>
    </w:p>
    <w:p w:rsidR="00F168CA" w:rsidRPr="00D542E4" w:rsidRDefault="00623ECF" w:rsidP="000C64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table below sets out how our remuneration practice and governance framework complies with the </w:t>
      </w:r>
      <w:r w:rsidR="00714A81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of </w:t>
      </w:r>
      <w:r w:rsidR="007119A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Prudential Regulation Authority’s </w:t>
      </w:r>
      <w:r w:rsidR="00714A81">
        <w:rPr>
          <w:sz w:val="24"/>
          <w:szCs w:val="24"/>
        </w:rPr>
        <w:t>Remuneration</w:t>
      </w:r>
      <w:r w:rsidR="0062529D">
        <w:rPr>
          <w:sz w:val="24"/>
          <w:szCs w:val="24"/>
        </w:rPr>
        <w:t xml:space="preserve"> Code</w:t>
      </w:r>
      <w:r>
        <w:rPr>
          <w:sz w:val="24"/>
          <w:szCs w:val="24"/>
        </w:rPr>
        <w:t xml:space="preserve"> </w:t>
      </w:r>
      <w:r w:rsidR="00714A81">
        <w:rPr>
          <w:sz w:val="24"/>
          <w:szCs w:val="24"/>
        </w:rPr>
        <w:t>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42E4" w:rsidRPr="00D542E4" w:rsidTr="009D1AD3">
        <w:tc>
          <w:tcPr>
            <w:tcW w:w="4621" w:type="dxa"/>
          </w:tcPr>
          <w:p w:rsidR="009D1AD3" w:rsidRPr="00D542E4" w:rsidRDefault="009D1AD3">
            <w:r w:rsidRPr="00D542E4">
              <w:t>Remuneration principles</w:t>
            </w:r>
          </w:p>
        </w:tc>
        <w:tc>
          <w:tcPr>
            <w:tcW w:w="4621" w:type="dxa"/>
          </w:tcPr>
          <w:p w:rsidR="009D1AD3" w:rsidRPr="00D542E4" w:rsidRDefault="009D1AD3">
            <w:r w:rsidRPr="00D542E4">
              <w:t>How we comply</w:t>
            </w:r>
          </w:p>
        </w:tc>
      </w:tr>
      <w:tr w:rsidR="00D542E4" w:rsidRPr="00D542E4" w:rsidTr="009D1AD3">
        <w:tc>
          <w:tcPr>
            <w:tcW w:w="4621" w:type="dxa"/>
          </w:tcPr>
          <w:p w:rsidR="009D1AD3" w:rsidRPr="00D542E4" w:rsidRDefault="009D1AD3">
            <w:r w:rsidRPr="00D542E4">
              <w:t xml:space="preserve">Principle 1: </w:t>
            </w:r>
          </w:p>
          <w:p w:rsidR="009D1AD3" w:rsidRPr="00D542E4" w:rsidRDefault="009D1AD3">
            <w:r w:rsidRPr="00D542E4">
              <w:t>Remuneration policy promotes sound and effective risk management</w:t>
            </w:r>
          </w:p>
        </w:tc>
        <w:tc>
          <w:tcPr>
            <w:tcW w:w="4621" w:type="dxa"/>
          </w:tcPr>
          <w:p w:rsidR="009D1AD3" w:rsidRPr="00D542E4" w:rsidRDefault="009D1AD3" w:rsidP="009D1AD3">
            <w:pPr>
              <w:pStyle w:val="ListParagraph"/>
              <w:numPr>
                <w:ilvl w:val="0"/>
                <w:numId w:val="1"/>
              </w:numPr>
            </w:pPr>
            <w:r w:rsidRPr="00D542E4">
              <w:t xml:space="preserve">Risk and </w:t>
            </w:r>
            <w:r w:rsidR="00222B2D">
              <w:t>C</w:t>
            </w:r>
            <w:r w:rsidRPr="00D542E4">
              <w:t>ompliance are a critical part of the assessment process in determining the performance of department and employees</w:t>
            </w:r>
            <w:r w:rsidR="00222B2D">
              <w:t>.</w:t>
            </w:r>
          </w:p>
        </w:tc>
      </w:tr>
      <w:tr w:rsidR="00D542E4" w:rsidRPr="00D542E4" w:rsidTr="009D1AD3">
        <w:tc>
          <w:tcPr>
            <w:tcW w:w="4621" w:type="dxa"/>
          </w:tcPr>
          <w:p w:rsidR="009D1AD3" w:rsidRPr="00D542E4" w:rsidRDefault="009D1AD3">
            <w:r w:rsidRPr="00D542E4">
              <w:t>Principle 2:</w:t>
            </w:r>
          </w:p>
          <w:p w:rsidR="009D1AD3" w:rsidRPr="00D542E4" w:rsidRDefault="009D1AD3">
            <w:r w:rsidRPr="00D542E4">
              <w:t>Remuneration policy supports business strategy, objectives, values and long-term interests of the firm</w:t>
            </w:r>
          </w:p>
        </w:tc>
        <w:tc>
          <w:tcPr>
            <w:tcW w:w="4621" w:type="dxa"/>
          </w:tcPr>
          <w:p w:rsidR="009D1AD3" w:rsidRPr="00D542E4" w:rsidRDefault="00A25161" w:rsidP="009D1AD3">
            <w:pPr>
              <w:pStyle w:val="ListParagraph"/>
              <w:numPr>
                <w:ilvl w:val="0"/>
                <w:numId w:val="1"/>
              </w:numPr>
            </w:pPr>
            <w:r w:rsidRPr="00D542E4">
              <w:t xml:space="preserve">Remuneration decisions </w:t>
            </w:r>
            <w:r w:rsidR="00D75777" w:rsidRPr="00D542E4">
              <w:t xml:space="preserve">are </w:t>
            </w:r>
            <w:r w:rsidRPr="00D542E4">
              <w:t>based on a combination of performance against business objectives and general individual performance of the role</w:t>
            </w:r>
            <w:r w:rsidR="00222B2D">
              <w:t>.</w:t>
            </w:r>
          </w:p>
          <w:p w:rsidR="00A25161" w:rsidRPr="00D542E4" w:rsidRDefault="00A25161" w:rsidP="00A25161">
            <w:pPr>
              <w:pStyle w:val="ListParagraph"/>
            </w:pPr>
          </w:p>
        </w:tc>
      </w:tr>
      <w:tr w:rsidR="00D542E4" w:rsidRPr="00D542E4" w:rsidTr="009D1AD3">
        <w:tc>
          <w:tcPr>
            <w:tcW w:w="4621" w:type="dxa"/>
          </w:tcPr>
          <w:p w:rsidR="009D1AD3" w:rsidRPr="00D542E4" w:rsidRDefault="00A25161">
            <w:r w:rsidRPr="00D542E4">
              <w:t xml:space="preserve">Principle 3: </w:t>
            </w:r>
          </w:p>
          <w:p w:rsidR="00A25161" w:rsidRPr="00D542E4" w:rsidRDefault="00A25161">
            <w:r w:rsidRPr="00D542E4">
              <w:t>Remuneration policy includes measures to avoids conflicts of interest</w:t>
            </w:r>
          </w:p>
        </w:tc>
        <w:tc>
          <w:tcPr>
            <w:tcW w:w="4621" w:type="dxa"/>
          </w:tcPr>
          <w:p w:rsidR="009D1AD3" w:rsidRPr="00D542E4" w:rsidRDefault="002E7077" w:rsidP="002E7077">
            <w:pPr>
              <w:pStyle w:val="ListParagraph"/>
              <w:numPr>
                <w:ilvl w:val="0"/>
                <w:numId w:val="1"/>
              </w:numPr>
            </w:pPr>
            <w:r w:rsidRPr="00D542E4">
              <w:t xml:space="preserve">Variable pay </w:t>
            </w:r>
            <w:r w:rsidR="00D75777" w:rsidRPr="00D542E4">
              <w:t>is</w:t>
            </w:r>
            <w:r w:rsidRPr="00D542E4">
              <w:t xml:space="preserve"> required to adhere to a set of policy principles and </w:t>
            </w:r>
            <w:r w:rsidR="00461041" w:rsidRPr="00D542E4">
              <w:t>require contribution</w:t>
            </w:r>
            <w:r w:rsidR="000C64B5">
              <w:t>s</w:t>
            </w:r>
            <w:r w:rsidRPr="00D542E4">
              <w:t xml:space="preserve"> from Risk</w:t>
            </w:r>
            <w:r w:rsidR="00222B2D">
              <w:t>,</w:t>
            </w:r>
            <w:r w:rsidRPr="00D542E4">
              <w:t xml:space="preserve"> Compliance and H</w:t>
            </w:r>
            <w:r w:rsidR="00222B2D">
              <w:t xml:space="preserve">uman </w:t>
            </w:r>
            <w:r w:rsidRPr="00D542E4">
              <w:t>R</w:t>
            </w:r>
            <w:r w:rsidR="00222B2D">
              <w:t>esources</w:t>
            </w:r>
            <w:r w:rsidRPr="00D542E4">
              <w:t>.</w:t>
            </w:r>
          </w:p>
          <w:p w:rsidR="002E7077" w:rsidRPr="00D542E4" w:rsidRDefault="002E7077" w:rsidP="002E7077">
            <w:pPr>
              <w:pStyle w:val="ListParagraph"/>
              <w:numPr>
                <w:ilvl w:val="0"/>
                <w:numId w:val="1"/>
              </w:numPr>
            </w:pPr>
            <w:r w:rsidRPr="00D542E4">
              <w:t>No Executive Director or member of Management Board is involved in deciding their own remuneration</w:t>
            </w:r>
          </w:p>
          <w:p w:rsidR="002E7077" w:rsidRPr="00D542E4" w:rsidRDefault="00B320AB" w:rsidP="009968DD">
            <w:pPr>
              <w:pStyle w:val="ListParagraph"/>
              <w:numPr>
                <w:ilvl w:val="0"/>
                <w:numId w:val="1"/>
              </w:numPr>
            </w:pPr>
            <w:r>
              <w:t xml:space="preserve">Each </w:t>
            </w:r>
            <w:r w:rsidR="009968DD">
              <w:t>L</w:t>
            </w:r>
            <w:r w:rsidR="002E7077" w:rsidRPr="00D542E4">
              <w:t xml:space="preserve">ine manager in the Bank can </w:t>
            </w:r>
            <w:r w:rsidR="00461041" w:rsidRPr="00D542E4">
              <w:t>propose</w:t>
            </w:r>
            <w:r w:rsidR="002E7077" w:rsidRPr="00D542E4">
              <w:t xml:space="preserve"> the remuneration for a direct report</w:t>
            </w:r>
            <w:r w:rsidR="00461041" w:rsidRPr="00D542E4">
              <w:t xml:space="preserve">, but </w:t>
            </w:r>
            <w:r w:rsidR="00222B2D">
              <w:t xml:space="preserve">the </w:t>
            </w:r>
            <w:r w:rsidR="00461041" w:rsidRPr="00D542E4">
              <w:t>C</w:t>
            </w:r>
            <w:r w:rsidR="000C64B5">
              <w:t xml:space="preserve">hief </w:t>
            </w:r>
            <w:r w:rsidR="00461041" w:rsidRPr="00D542E4">
              <w:t>E</w:t>
            </w:r>
            <w:r w:rsidR="000C64B5">
              <w:t xml:space="preserve">xecutive </w:t>
            </w:r>
            <w:r w:rsidR="00461041" w:rsidRPr="00D542E4">
              <w:t>O</w:t>
            </w:r>
            <w:r w:rsidR="000C64B5">
              <w:t>fficer</w:t>
            </w:r>
            <w:r w:rsidR="00461041" w:rsidRPr="00D542E4">
              <w:t xml:space="preserve"> make</w:t>
            </w:r>
            <w:r w:rsidR="00016EFC">
              <w:t>s</w:t>
            </w:r>
            <w:r w:rsidR="00461041" w:rsidRPr="00D542E4">
              <w:t xml:space="preserve"> the final decision</w:t>
            </w:r>
            <w:r w:rsidR="00222B2D">
              <w:t>.</w:t>
            </w:r>
            <w:r w:rsidR="009968DD">
              <w:t xml:space="preserve"> </w:t>
            </w:r>
            <w:r w:rsidR="009968DD" w:rsidRPr="009968DD">
              <w:t xml:space="preserve">Remuneration Code Staff </w:t>
            </w:r>
            <w:r w:rsidR="009968DD">
              <w:t xml:space="preserve">  </w:t>
            </w:r>
            <w:r w:rsidR="007119AA">
              <w:t xml:space="preserve">require </w:t>
            </w:r>
            <w:r w:rsidR="009968DD">
              <w:t xml:space="preserve">approval from </w:t>
            </w:r>
            <w:r w:rsidR="009968DD" w:rsidRPr="009968DD">
              <w:t>CCBL</w:t>
            </w:r>
            <w:r w:rsidR="007119AA">
              <w:t>’s</w:t>
            </w:r>
            <w:r w:rsidR="009968DD" w:rsidRPr="009968DD">
              <w:t xml:space="preserve"> Remuneration Committee.</w:t>
            </w:r>
          </w:p>
          <w:p w:rsidR="002E7077" w:rsidRPr="00D542E4" w:rsidRDefault="002E7077" w:rsidP="00DE0BA3">
            <w:pPr>
              <w:pStyle w:val="ListParagraph"/>
              <w:numPr>
                <w:ilvl w:val="0"/>
                <w:numId w:val="1"/>
              </w:numPr>
            </w:pPr>
            <w:r w:rsidRPr="00D542E4">
              <w:t xml:space="preserve">The Remuneration Committee is responsible </w:t>
            </w:r>
            <w:r w:rsidR="00222B2D" w:rsidRPr="00D542E4">
              <w:t>for reviewing</w:t>
            </w:r>
            <w:r w:rsidRPr="00D542E4">
              <w:t xml:space="preserve"> and agreeing individual remuneration packages for Executive Directors and other senior employees, including the heads of </w:t>
            </w:r>
            <w:r w:rsidR="00DE0BA3">
              <w:t>C</w:t>
            </w:r>
            <w:r w:rsidRPr="00D542E4">
              <w:t xml:space="preserve">ontrol </w:t>
            </w:r>
            <w:r w:rsidR="00DE0BA3">
              <w:t>F</w:t>
            </w:r>
            <w:r w:rsidRPr="00D542E4">
              <w:t>unctions</w:t>
            </w:r>
            <w:r w:rsidR="00222B2D">
              <w:t>.</w:t>
            </w:r>
          </w:p>
        </w:tc>
      </w:tr>
      <w:tr w:rsidR="00D542E4" w:rsidRPr="00D542E4" w:rsidTr="009D1AD3">
        <w:tc>
          <w:tcPr>
            <w:tcW w:w="4621" w:type="dxa"/>
          </w:tcPr>
          <w:p w:rsidR="009E0C4F" w:rsidRPr="00D542E4" w:rsidRDefault="009E0C4F">
            <w:r w:rsidRPr="00D542E4">
              <w:t>Principle 4:</w:t>
            </w:r>
          </w:p>
          <w:p w:rsidR="009E0C4F" w:rsidRPr="00D542E4" w:rsidRDefault="009E0C4F">
            <w:r w:rsidRPr="00D542E4">
              <w:t>Governance of remuneration policy</w:t>
            </w:r>
          </w:p>
        </w:tc>
        <w:tc>
          <w:tcPr>
            <w:tcW w:w="4621" w:type="dxa"/>
          </w:tcPr>
          <w:p w:rsidR="009D1AD3" w:rsidRPr="00D542E4" w:rsidRDefault="00461041" w:rsidP="009E0C4F">
            <w:pPr>
              <w:pStyle w:val="ListParagraph"/>
              <w:numPr>
                <w:ilvl w:val="0"/>
                <w:numId w:val="2"/>
              </w:numPr>
            </w:pPr>
            <w:r w:rsidRPr="00D542E4">
              <w:t>Two</w:t>
            </w:r>
            <w:r w:rsidR="00F004AE" w:rsidRPr="00D542E4">
              <w:t xml:space="preserve"> members of the </w:t>
            </w:r>
            <w:r w:rsidR="00E72A8E" w:rsidRPr="00D542E4">
              <w:t xml:space="preserve">Remuneration </w:t>
            </w:r>
            <w:r w:rsidR="00F004AE" w:rsidRPr="00D542E4">
              <w:t>Committee are Independent Non-Executive Director</w:t>
            </w:r>
            <w:r w:rsidR="00D75777" w:rsidRPr="00D542E4">
              <w:t>s</w:t>
            </w:r>
            <w:r w:rsidRPr="00D542E4">
              <w:t xml:space="preserve"> and one member is Non-Executive Director</w:t>
            </w:r>
            <w:r w:rsidR="003A7688">
              <w:t>.</w:t>
            </w:r>
          </w:p>
          <w:p w:rsidR="00F004AE" w:rsidRPr="00D542E4" w:rsidRDefault="00F52E31" w:rsidP="009E0C4F">
            <w:pPr>
              <w:pStyle w:val="ListParagraph"/>
              <w:numPr>
                <w:ilvl w:val="0"/>
                <w:numId w:val="2"/>
              </w:numPr>
            </w:pPr>
            <w:r w:rsidRPr="00D542E4">
              <w:t>The Remuneration Committee sets the principles, parameters and governance framework of the remuneration policy applicable to all employees</w:t>
            </w:r>
            <w:r w:rsidR="003A7688">
              <w:t>.</w:t>
            </w:r>
          </w:p>
          <w:p w:rsidR="00F52E31" w:rsidRPr="00D542E4" w:rsidRDefault="00F52E31" w:rsidP="009E0C4F">
            <w:pPr>
              <w:pStyle w:val="ListParagraph"/>
              <w:numPr>
                <w:ilvl w:val="0"/>
                <w:numId w:val="2"/>
              </w:numPr>
            </w:pPr>
            <w:r w:rsidRPr="00D542E4">
              <w:t xml:space="preserve">The </w:t>
            </w:r>
            <w:r w:rsidR="00E72A8E" w:rsidRPr="00D542E4">
              <w:t xml:space="preserve">Remuneration </w:t>
            </w:r>
            <w:r w:rsidRPr="00D542E4">
              <w:t>Committee periodically reviews the adequacy and effectiveness of the remuneration policy</w:t>
            </w:r>
            <w:r w:rsidR="003A7688">
              <w:t>.</w:t>
            </w:r>
          </w:p>
          <w:p w:rsidR="00F52E31" w:rsidRPr="00D542E4" w:rsidRDefault="00F52E31" w:rsidP="009E0C4F">
            <w:pPr>
              <w:pStyle w:val="ListParagraph"/>
              <w:numPr>
                <w:ilvl w:val="0"/>
                <w:numId w:val="2"/>
              </w:numPr>
            </w:pPr>
            <w:r w:rsidRPr="00D542E4">
              <w:t>The</w:t>
            </w:r>
            <w:r w:rsidR="00E72A8E" w:rsidRPr="00D542E4">
              <w:t xml:space="preserve"> Chief Risk Officer updates </w:t>
            </w:r>
            <w:r w:rsidRPr="00D542E4">
              <w:t xml:space="preserve">and </w:t>
            </w:r>
            <w:r w:rsidRPr="00D542E4">
              <w:lastRenderedPageBreak/>
              <w:t xml:space="preserve">informs the </w:t>
            </w:r>
            <w:r w:rsidR="00E72A8E" w:rsidRPr="00D542E4">
              <w:t xml:space="preserve">Remuneration </w:t>
            </w:r>
            <w:r w:rsidRPr="00D542E4">
              <w:t>Committee of risk related incidents and performance against risk appetite, compliance relating to financial crime</w:t>
            </w:r>
            <w:r w:rsidR="00370668">
              <w:t>,</w:t>
            </w:r>
            <w:r w:rsidRPr="00D542E4">
              <w:t xml:space="preserve"> compliance and business protection for the purpose of making remuneration decisions</w:t>
            </w:r>
            <w:r w:rsidR="003A7688">
              <w:t>.</w:t>
            </w:r>
          </w:p>
          <w:p w:rsidR="00F52E31" w:rsidRPr="00D542E4" w:rsidRDefault="00E72A8E" w:rsidP="009E0C4F">
            <w:pPr>
              <w:pStyle w:val="ListParagraph"/>
              <w:numPr>
                <w:ilvl w:val="0"/>
                <w:numId w:val="2"/>
              </w:numPr>
            </w:pPr>
            <w:r w:rsidRPr="00D542E4">
              <w:t>All member</w:t>
            </w:r>
            <w:r w:rsidR="00D75777" w:rsidRPr="00D542E4">
              <w:t>s</w:t>
            </w:r>
            <w:r w:rsidRPr="00D542E4">
              <w:t xml:space="preserve"> of the Remuneration Committee are also the member</w:t>
            </w:r>
            <w:r w:rsidR="00D75777" w:rsidRPr="00D542E4">
              <w:t>s</w:t>
            </w:r>
            <w:r w:rsidRPr="00D542E4">
              <w:t xml:space="preserve"> of </w:t>
            </w:r>
            <w:r w:rsidR="00D75777" w:rsidRPr="00D542E4">
              <w:t xml:space="preserve">the </w:t>
            </w:r>
            <w:r w:rsidRPr="00D542E4">
              <w:t>Audit and Risk Committee being updated on issues which may impact the variable pay recommendations for Senior Executives prior to the Remuneration Committee’s approval as part of the Bank’s governance.</w:t>
            </w:r>
          </w:p>
        </w:tc>
      </w:tr>
      <w:tr w:rsidR="00D542E4" w:rsidRPr="00D542E4" w:rsidTr="009D1AD3">
        <w:tc>
          <w:tcPr>
            <w:tcW w:w="4621" w:type="dxa"/>
          </w:tcPr>
          <w:p w:rsidR="009D1AD3" w:rsidRPr="00D542E4" w:rsidRDefault="00E72A8E">
            <w:r w:rsidRPr="00D542E4">
              <w:lastRenderedPageBreak/>
              <w:t>Principle 5:</w:t>
            </w:r>
          </w:p>
          <w:p w:rsidR="00E72A8E" w:rsidRPr="00D542E4" w:rsidRDefault="00E72A8E">
            <w:r w:rsidRPr="00D542E4">
              <w:t xml:space="preserve">Employees in </w:t>
            </w:r>
            <w:r w:rsidR="00DE0BA3">
              <w:t>C</w:t>
            </w:r>
            <w:r w:rsidRPr="00D542E4">
              <w:t xml:space="preserve">ontrol </w:t>
            </w:r>
            <w:r w:rsidR="00DE0BA3">
              <w:t>F</w:t>
            </w:r>
            <w:r w:rsidRPr="00D542E4">
              <w:t>unctions are independent, have appropriate authority and are remunerated adequately and based on functional objectiv</w:t>
            </w:r>
            <w:bookmarkStart w:id="0" w:name="_GoBack"/>
            <w:bookmarkEnd w:id="0"/>
            <w:r w:rsidRPr="00D542E4">
              <w:t>es</w:t>
            </w:r>
          </w:p>
        </w:tc>
        <w:tc>
          <w:tcPr>
            <w:tcW w:w="4621" w:type="dxa"/>
          </w:tcPr>
          <w:p w:rsidR="009D1AD3" w:rsidRPr="00D542E4" w:rsidRDefault="00E72A8E" w:rsidP="00E72A8E">
            <w:pPr>
              <w:pStyle w:val="ListParagraph"/>
              <w:numPr>
                <w:ilvl w:val="0"/>
                <w:numId w:val="3"/>
              </w:numPr>
            </w:pPr>
            <w:r w:rsidRPr="00D542E4">
              <w:t xml:space="preserve">Individuals in </w:t>
            </w:r>
            <w:r w:rsidR="00DE0BA3">
              <w:t>C</w:t>
            </w:r>
            <w:r w:rsidRPr="00D542E4">
              <w:t xml:space="preserve">ontrol </w:t>
            </w:r>
            <w:r w:rsidR="00DE0BA3">
              <w:t>F</w:t>
            </w:r>
            <w:r w:rsidRPr="00D542E4">
              <w:t>unctions have a direct reporting line through the functions rather than through the business to ensure that conflicts of interest are avoided</w:t>
            </w:r>
            <w:r w:rsidR="000C64B5">
              <w:t>.</w:t>
            </w:r>
          </w:p>
          <w:p w:rsidR="00E72A8E" w:rsidRPr="00D542E4" w:rsidRDefault="00E72A8E" w:rsidP="00E72A8E">
            <w:pPr>
              <w:pStyle w:val="ListParagraph"/>
              <w:numPr>
                <w:ilvl w:val="0"/>
                <w:numId w:val="3"/>
              </w:numPr>
            </w:pPr>
            <w:r w:rsidRPr="00D542E4">
              <w:t xml:space="preserve">Control </w:t>
            </w:r>
            <w:r w:rsidR="00DE0BA3">
              <w:t>F</w:t>
            </w:r>
            <w:r w:rsidRPr="00D542E4">
              <w:t>unctions are represented at the most senior levels within the Bank including on the Management Board</w:t>
            </w:r>
            <w:r w:rsidR="000C64B5">
              <w:t>.</w:t>
            </w:r>
          </w:p>
          <w:p w:rsidR="00E72A8E" w:rsidRPr="00D542E4" w:rsidRDefault="00E72A8E" w:rsidP="00E72A8E">
            <w:pPr>
              <w:pStyle w:val="ListParagraph"/>
              <w:numPr>
                <w:ilvl w:val="0"/>
                <w:numId w:val="3"/>
              </w:numPr>
            </w:pPr>
            <w:r w:rsidRPr="00D542E4">
              <w:t xml:space="preserve">Senior individuals in </w:t>
            </w:r>
            <w:r w:rsidR="00DE0BA3">
              <w:t>C</w:t>
            </w:r>
            <w:r w:rsidRPr="00D542E4">
              <w:t xml:space="preserve">ontrol </w:t>
            </w:r>
            <w:r w:rsidR="00DE0BA3">
              <w:t>F</w:t>
            </w:r>
            <w:r w:rsidRPr="00D542E4">
              <w:t xml:space="preserve">unctions, including </w:t>
            </w:r>
            <w:r w:rsidR="00DE0BA3">
              <w:t xml:space="preserve">the </w:t>
            </w:r>
            <w:r w:rsidRPr="00D542E4">
              <w:t>Chief Risk Officer, provide inputs for remuneration decisions</w:t>
            </w:r>
            <w:r w:rsidR="000C64B5">
              <w:t>.</w:t>
            </w:r>
          </w:p>
          <w:p w:rsidR="00E72A8E" w:rsidRPr="00D542E4" w:rsidRDefault="00E72A8E" w:rsidP="00E72A8E">
            <w:pPr>
              <w:pStyle w:val="ListParagraph"/>
              <w:numPr>
                <w:ilvl w:val="0"/>
                <w:numId w:val="3"/>
              </w:numPr>
            </w:pPr>
            <w:r w:rsidRPr="00D542E4">
              <w:t xml:space="preserve">The performance and remuneration of </w:t>
            </w:r>
            <w:r w:rsidR="00DE0BA3">
              <w:t>C</w:t>
            </w:r>
            <w:r w:rsidRPr="00D542E4">
              <w:t xml:space="preserve">ontrol </w:t>
            </w:r>
            <w:r w:rsidR="00DE0BA3">
              <w:t>F</w:t>
            </w:r>
            <w:r w:rsidRPr="00D542E4">
              <w:t xml:space="preserve">unction staff is determined </w:t>
            </w:r>
            <w:r w:rsidR="001C2AF3" w:rsidRPr="00D542E4">
              <w:t>according to objectives specific to the functional role they undertake</w:t>
            </w:r>
            <w:r w:rsidR="000C64B5">
              <w:t>.</w:t>
            </w:r>
          </w:p>
          <w:p w:rsidR="00FC1DF0" w:rsidRPr="00D542E4" w:rsidRDefault="00FC1DF0" w:rsidP="00E72A8E">
            <w:pPr>
              <w:pStyle w:val="ListParagraph"/>
              <w:numPr>
                <w:ilvl w:val="0"/>
                <w:numId w:val="3"/>
              </w:numPr>
            </w:pPr>
            <w:r w:rsidRPr="00D542E4">
              <w:t xml:space="preserve">Remuneration for </w:t>
            </w:r>
            <w:r w:rsidR="00DE0BA3">
              <w:t>C</w:t>
            </w:r>
            <w:r w:rsidRPr="00D542E4">
              <w:t xml:space="preserve">ontrol </w:t>
            </w:r>
            <w:r w:rsidR="00DE0BA3">
              <w:t>F</w:t>
            </w:r>
            <w:r w:rsidRPr="00D542E4">
              <w:t>unction staff is carefully benchmarked with the market appropriate level</w:t>
            </w:r>
            <w:r w:rsidR="000C64B5">
              <w:t>.</w:t>
            </w:r>
          </w:p>
        </w:tc>
      </w:tr>
      <w:tr w:rsidR="00D542E4" w:rsidRPr="00D542E4" w:rsidTr="009D1AD3">
        <w:tc>
          <w:tcPr>
            <w:tcW w:w="4621" w:type="dxa"/>
          </w:tcPr>
          <w:p w:rsidR="009D1AD3" w:rsidRPr="00D542E4" w:rsidRDefault="00FC1DF0">
            <w:r w:rsidRPr="00D542E4">
              <w:t>Principle 6:</w:t>
            </w:r>
          </w:p>
          <w:p w:rsidR="00FC1DF0" w:rsidRPr="00D542E4" w:rsidRDefault="000C1FCC">
            <w:r w:rsidRPr="00D542E4">
              <w:t>Variable remuneration is not paid through vehicles that facilitate non-compliance with the Remuneration Principle</w:t>
            </w:r>
          </w:p>
        </w:tc>
        <w:tc>
          <w:tcPr>
            <w:tcW w:w="4621" w:type="dxa"/>
          </w:tcPr>
          <w:p w:rsidR="0063234B" w:rsidRPr="00D542E4" w:rsidRDefault="000C1FCC" w:rsidP="0063234B">
            <w:pPr>
              <w:pStyle w:val="ListParagraph"/>
              <w:numPr>
                <w:ilvl w:val="0"/>
                <w:numId w:val="4"/>
              </w:numPr>
            </w:pPr>
            <w:r w:rsidRPr="00D542E4">
              <w:t xml:space="preserve">The PRA/FCA Remuneration Principles are applied on </w:t>
            </w:r>
            <w:r w:rsidR="000C64B5">
              <w:t>a</w:t>
            </w:r>
            <w:r w:rsidR="000C64B5" w:rsidRPr="00D542E4">
              <w:t xml:space="preserve"> </w:t>
            </w:r>
            <w:r w:rsidRPr="00D542E4">
              <w:t xml:space="preserve">Bank </w:t>
            </w:r>
            <w:r w:rsidRPr="003A7688">
              <w:t>wide basis</w:t>
            </w:r>
            <w:r w:rsidR="000C64B5" w:rsidRPr="003A7688">
              <w:t>.</w:t>
            </w:r>
          </w:p>
          <w:p w:rsidR="000C1FCC" w:rsidRPr="00D542E4" w:rsidRDefault="000C1FCC" w:rsidP="0063234B">
            <w:pPr>
              <w:pStyle w:val="ListParagraph"/>
              <w:numPr>
                <w:ilvl w:val="0"/>
                <w:numId w:val="4"/>
              </w:numPr>
            </w:pPr>
            <w:r w:rsidRPr="00D542E4">
              <w:t>All variable pay awards are currently delivered in the form of cash in accordance with the requirements of Remuneration Principles</w:t>
            </w:r>
            <w:r w:rsidR="000C64B5">
              <w:t>.</w:t>
            </w:r>
          </w:p>
        </w:tc>
      </w:tr>
      <w:tr w:rsidR="009D1AD3" w:rsidRPr="00D542E4" w:rsidTr="009D1AD3">
        <w:tc>
          <w:tcPr>
            <w:tcW w:w="4621" w:type="dxa"/>
          </w:tcPr>
          <w:p w:rsidR="0063234B" w:rsidRPr="00D542E4" w:rsidRDefault="00015D58" w:rsidP="000C1FCC">
            <w:r w:rsidRPr="00D542E4">
              <w:t>Principle 7:</w:t>
            </w:r>
          </w:p>
          <w:p w:rsidR="00015D58" w:rsidRPr="00D542E4" w:rsidRDefault="00015D58" w:rsidP="000C1FCC">
            <w:r w:rsidRPr="00D542E4">
              <w:t>Remuneration structure is consistent with and promote effective risk management</w:t>
            </w:r>
          </w:p>
        </w:tc>
        <w:tc>
          <w:tcPr>
            <w:tcW w:w="4621" w:type="dxa"/>
          </w:tcPr>
          <w:p w:rsidR="009D1AD3" w:rsidRPr="00D542E4" w:rsidRDefault="00015D58" w:rsidP="00015D58">
            <w:pPr>
              <w:pStyle w:val="ListParagraph"/>
              <w:numPr>
                <w:ilvl w:val="0"/>
                <w:numId w:val="5"/>
              </w:numPr>
            </w:pPr>
            <w:r w:rsidRPr="00D542E4">
              <w:t xml:space="preserve">For all employees, remuneration decisions are based on </w:t>
            </w:r>
            <w:r w:rsidR="000C64B5">
              <w:t xml:space="preserve">a </w:t>
            </w:r>
            <w:r w:rsidRPr="00D542E4">
              <w:t>combination of business results, performance against objectives, individual performance</w:t>
            </w:r>
            <w:r w:rsidR="000C64B5">
              <w:t>.</w:t>
            </w:r>
          </w:p>
        </w:tc>
      </w:tr>
    </w:tbl>
    <w:p w:rsidR="00DD0179" w:rsidRDefault="00DD0179"/>
    <w:p w:rsidR="009A32E8" w:rsidRPr="00D542E4" w:rsidRDefault="00DD0179">
      <w:r>
        <w:t>CCBL/CCBCB remuneration policies are reviewed regularly and kept in</w:t>
      </w:r>
      <w:r w:rsidR="007119AA">
        <w:t xml:space="preserve"> the</w:t>
      </w:r>
      <w:r>
        <w:t xml:space="preserve"> H</w:t>
      </w:r>
      <w:r w:rsidR="007119AA">
        <w:t xml:space="preserve">uman </w:t>
      </w:r>
      <w:r>
        <w:t>R</w:t>
      </w:r>
      <w:r w:rsidR="007119AA">
        <w:t>esources</w:t>
      </w:r>
      <w:r>
        <w:t xml:space="preserve"> Department.  A</w:t>
      </w:r>
      <w:r w:rsidRPr="00DD0179">
        <w:t>s a Proportional</w:t>
      </w:r>
      <w:r>
        <w:t>ity Level Three firm, CCBL/CCBCB</w:t>
      </w:r>
      <w:r w:rsidRPr="00DD0179">
        <w:t xml:space="preserve"> has dis</w:t>
      </w:r>
      <w:r>
        <w:t>-</w:t>
      </w:r>
      <w:r w:rsidRPr="00DD0179">
        <w:t>applied SYSC 19D.3.48R governing the ratios between fixed and variable elements of remuneration.</w:t>
      </w:r>
    </w:p>
    <w:sectPr w:rsidR="009A32E8" w:rsidRPr="00D542E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A3" w:rsidRDefault="00DE0BA3" w:rsidP="00DE0BA3">
      <w:pPr>
        <w:spacing w:after="0" w:line="240" w:lineRule="auto"/>
      </w:pPr>
      <w:r>
        <w:separator/>
      </w:r>
    </w:p>
  </w:endnote>
  <w:endnote w:type="continuationSeparator" w:id="0">
    <w:p w:rsidR="00DE0BA3" w:rsidRDefault="00DE0BA3" w:rsidP="00DE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3" w:rsidRDefault="00DE0BA3">
    <w:pPr>
      <w:pStyle w:val="Footer"/>
    </w:pPr>
    <w:r>
      <w:t>China Construction Bank (London) Limited (“CCBL”)</w:t>
    </w:r>
  </w:p>
  <w:p w:rsidR="00DE0BA3" w:rsidRDefault="00DE0BA3">
    <w:pPr>
      <w:pStyle w:val="Footer"/>
    </w:pPr>
    <w:r>
      <w:t>China Construction Bank Corporation London Branch (“CCBCB“)</w:t>
    </w:r>
  </w:p>
  <w:p w:rsidR="00DE0BA3" w:rsidRDefault="00DE0BA3">
    <w:pPr>
      <w:pStyle w:val="Footer"/>
    </w:pPr>
    <w:r>
      <w:t>CCBCB and CCBL are collectively the “Bank”</w:t>
    </w:r>
  </w:p>
  <w:p w:rsidR="00DE0BA3" w:rsidRDefault="00DE0BA3">
    <w:pPr>
      <w:pStyle w:val="Footer"/>
    </w:pPr>
    <w:r>
      <w:t>Prudential Regulation Authority (“PRA”)</w:t>
    </w:r>
  </w:p>
  <w:p w:rsidR="00DE0BA3" w:rsidRDefault="00DE0BA3">
    <w:pPr>
      <w:pStyle w:val="Footer"/>
    </w:pPr>
    <w:r>
      <w:t>Financial Conduct Authority (“FCA”)</w:t>
    </w:r>
  </w:p>
  <w:p w:rsidR="00DE0BA3" w:rsidRDefault="00DE0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A3" w:rsidRDefault="00DE0BA3" w:rsidP="00DE0BA3">
      <w:pPr>
        <w:spacing w:after="0" w:line="240" w:lineRule="auto"/>
      </w:pPr>
      <w:r>
        <w:separator/>
      </w:r>
    </w:p>
  </w:footnote>
  <w:footnote w:type="continuationSeparator" w:id="0">
    <w:p w:rsidR="00DE0BA3" w:rsidRDefault="00DE0BA3" w:rsidP="00DE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86"/>
    <w:multiLevelType w:val="hybridMultilevel"/>
    <w:tmpl w:val="62B2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EE1"/>
    <w:multiLevelType w:val="hybridMultilevel"/>
    <w:tmpl w:val="ECFA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654FE"/>
    <w:multiLevelType w:val="hybridMultilevel"/>
    <w:tmpl w:val="B616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53F4C"/>
    <w:multiLevelType w:val="hybridMultilevel"/>
    <w:tmpl w:val="255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B6DEA"/>
    <w:multiLevelType w:val="hybridMultilevel"/>
    <w:tmpl w:val="F7E6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E8"/>
    <w:rsid w:val="0001503E"/>
    <w:rsid w:val="00015D58"/>
    <w:rsid w:val="00016EFC"/>
    <w:rsid w:val="00065578"/>
    <w:rsid w:val="000C1FCC"/>
    <w:rsid w:val="000C64B5"/>
    <w:rsid w:val="001C2AF3"/>
    <w:rsid w:val="00222B2D"/>
    <w:rsid w:val="00236F67"/>
    <w:rsid w:val="00276B7E"/>
    <w:rsid w:val="002D21E0"/>
    <w:rsid w:val="002E7077"/>
    <w:rsid w:val="00370668"/>
    <w:rsid w:val="003A7688"/>
    <w:rsid w:val="00461041"/>
    <w:rsid w:val="005279FF"/>
    <w:rsid w:val="00623ECF"/>
    <w:rsid w:val="0062529D"/>
    <w:rsid w:val="0063234B"/>
    <w:rsid w:val="006E24D4"/>
    <w:rsid w:val="007119AA"/>
    <w:rsid w:val="00714A81"/>
    <w:rsid w:val="00792AA8"/>
    <w:rsid w:val="009636AB"/>
    <w:rsid w:val="009968DD"/>
    <w:rsid w:val="009A32E8"/>
    <w:rsid w:val="009B3128"/>
    <w:rsid w:val="009D1AD3"/>
    <w:rsid w:val="009E0C4F"/>
    <w:rsid w:val="009E5127"/>
    <w:rsid w:val="00A25161"/>
    <w:rsid w:val="00B26989"/>
    <w:rsid w:val="00B320AB"/>
    <w:rsid w:val="00D542E4"/>
    <w:rsid w:val="00D75777"/>
    <w:rsid w:val="00DD0179"/>
    <w:rsid w:val="00DE0BA3"/>
    <w:rsid w:val="00E72A8E"/>
    <w:rsid w:val="00E92993"/>
    <w:rsid w:val="00F004AE"/>
    <w:rsid w:val="00F168CA"/>
    <w:rsid w:val="00F52E31"/>
    <w:rsid w:val="00FC1DF0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3"/>
  </w:style>
  <w:style w:type="paragraph" w:styleId="Footer">
    <w:name w:val="footer"/>
    <w:basedOn w:val="Normal"/>
    <w:link w:val="FooterChar"/>
    <w:uiPriority w:val="99"/>
    <w:unhideWhenUsed/>
    <w:rsid w:val="00DE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3"/>
  </w:style>
  <w:style w:type="paragraph" w:styleId="Footer">
    <w:name w:val="footer"/>
    <w:basedOn w:val="Normal"/>
    <w:link w:val="FooterChar"/>
    <w:uiPriority w:val="99"/>
    <w:unhideWhenUsed/>
    <w:rsid w:val="00DE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FE60-BF3C-491F-A760-C39931D1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Construction Bank (London)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gu</dc:creator>
  <cp:lastModifiedBy>yun gu</cp:lastModifiedBy>
  <cp:revision>3</cp:revision>
  <dcterms:created xsi:type="dcterms:W3CDTF">2017-02-17T09:27:00Z</dcterms:created>
  <dcterms:modified xsi:type="dcterms:W3CDTF">2017-02-17T09:28:00Z</dcterms:modified>
</cp:coreProperties>
</file>